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pStyle w:val="Heading1"/>
        <w:keepNext w:val="0"/>
        <w:keepLines w:val="0"/>
        <w:spacing w:after="40" w:before="300" w:lineRule="auto"/>
        <w:jc w:val="center"/>
        <w:rPr>
          <w:rFonts w:ascii="Poppins Light" w:cs="Poppins Light" w:eastAsia="Poppins Light" w:hAnsi="Poppins Light"/>
          <w:color w:val="7030a0"/>
          <w:sz w:val="32"/>
          <w:szCs w:val="32"/>
        </w:rPr>
      </w:pPr>
      <w:bookmarkStart w:colFirst="0" w:colLast="0" w:name="_ydv2po5et64e" w:id="0"/>
      <w:bookmarkEnd w:id="0"/>
      <w:r w:rsidDel="00000000" w:rsidR="00000000" w:rsidRPr="00000000">
        <w:rPr>
          <w:rFonts w:ascii="Poppins Light" w:cs="Poppins Light" w:eastAsia="Poppins Light" w:hAnsi="Poppins Light"/>
          <w:color w:val="7030a0"/>
          <w:sz w:val="32"/>
          <w:szCs w:val="32"/>
          <w:rtl w:val="0"/>
        </w:rPr>
        <w:t xml:space="preserve">Allegato B </w:t>
        <w:br w:type="textWrapping"/>
        <w:t xml:space="preserve">Istanza di Manifestazione di Interesse</w:t>
      </w:r>
    </w:p>
    <w:p w:rsidR="00000000" w:rsidDel="00000000" w:rsidP="00000000" w:rsidRDefault="00000000" w:rsidRPr="00000000" w14:paraId="00000002">
      <w:pPr>
        <w:spacing w:before="200" w:lineRule="auto"/>
        <w:jc w:val="both"/>
        <w:rPr>
          <w:rFonts w:ascii="Poppins" w:cs="Poppins" w:eastAsia="Poppins" w:hAnsi="Poppins"/>
          <w:color w:val="1f1f1f"/>
          <w:sz w:val="21"/>
          <w:szCs w:val="21"/>
        </w:rPr>
      </w:pPr>
      <w:r w:rsidDel="00000000" w:rsidR="00000000" w:rsidRPr="00000000">
        <w:rPr>
          <w:rFonts w:ascii="Poppins" w:cs="Poppins" w:eastAsia="Poppins" w:hAnsi="Poppins"/>
          <w:b w:val="1"/>
          <w:sz w:val="20"/>
          <w:szCs w:val="20"/>
          <w:rtl w:val="0"/>
        </w:rPr>
        <w:t xml:space="preserve">OGGETTO: manifestazione di interesse a partecipare alla successiva procedura negoziata, ai sensi dell’art. 50 comma 1, lettera e), del D. Lgs n. 36/2023, per l’affidamento di un Accordo Quadro ad oggetto</w:t>
      </w:r>
      <w:r w:rsidDel="00000000" w:rsidR="00000000" w:rsidRPr="00000000">
        <w:rPr>
          <w:rFonts w:ascii="Poppins" w:cs="Poppins" w:eastAsia="Poppins" w:hAnsi="Poppins"/>
          <w:b w:val="1"/>
          <w:rtl w:val="0"/>
        </w:rPr>
        <w:t xml:space="preserve"> l’affidamento di servizi di progettazione, manutenzione, sviluppo e rework del sistema Virtual Desk HD e altre implementazioni per FSE 2.0</w:t>
      </w:r>
      <w:r w:rsidDel="00000000" w:rsidR="00000000" w:rsidRPr="00000000">
        <w:rPr>
          <w:rFonts w:ascii="Poppins" w:cs="Poppins" w:eastAsia="Poppins" w:hAnsi="Poppins"/>
          <w:b w:val="1"/>
          <w:rtl w:val="0"/>
        </w:rPr>
        <w:t xml:space="preserve"> </w:t>
      </w:r>
      <w:r w:rsidDel="00000000" w:rsidR="00000000" w:rsidRPr="00000000">
        <w:rPr>
          <w:rFonts w:ascii="Poppins SemiBold" w:cs="Poppins SemiBold" w:eastAsia="Poppins SemiBold" w:hAnsi="Poppins SemiBold"/>
          <w:rtl w:val="0"/>
        </w:rPr>
        <w:t xml:space="preserve">- </w:t>
      </w:r>
      <w:r w:rsidDel="00000000" w:rsidR="00000000" w:rsidRPr="00000000">
        <w:rPr>
          <w:rFonts w:ascii="Poppins" w:cs="Poppins" w:eastAsia="Poppins" w:hAnsi="Poppins"/>
          <w:b w:val="1"/>
          <w:color w:val="1f1f1f"/>
          <w:sz w:val="21"/>
          <w:szCs w:val="21"/>
          <w:rtl w:val="0"/>
        </w:rPr>
        <w:t xml:space="preserve">CUP E47H22003310006</w:t>
      </w:r>
      <w:r w:rsidDel="00000000" w:rsidR="00000000" w:rsidRPr="00000000">
        <w:rPr>
          <w:rFonts w:ascii="Poppins" w:cs="Poppins" w:eastAsia="Poppins" w:hAnsi="Poppins"/>
          <w:color w:val="1f1f1f"/>
          <w:sz w:val="21"/>
          <w:szCs w:val="21"/>
          <w:rtl w:val="0"/>
        </w:rPr>
        <w:t xml:space="preserve"> </w:t>
      </w:r>
    </w:p>
    <w:p w:rsidR="00000000" w:rsidDel="00000000" w:rsidP="00000000" w:rsidRDefault="00000000" w:rsidRPr="00000000" w14:paraId="00000003">
      <w:pPr>
        <w:spacing w:after="120" w:before="60" w:lineRule="auto"/>
        <w:jc w:val="both"/>
        <w:rPr>
          <w:rFonts w:ascii="Poppins SemiBold" w:cs="Poppins SemiBold" w:eastAsia="Poppins SemiBold" w:hAnsi="Poppins SemiBold"/>
          <w:highlight w:val="yellow"/>
        </w:rPr>
      </w:pPr>
      <w:r w:rsidDel="00000000" w:rsidR="00000000" w:rsidRPr="00000000">
        <w:rPr>
          <w:rFonts w:ascii="Poppins" w:cs="Poppins" w:eastAsia="Poppins" w:hAnsi="Poppins"/>
          <w:color w:val="1f1f1f"/>
          <w:sz w:val="21"/>
          <w:szCs w:val="21"/>
          <w:rtl w:val="0"/>
        </w:rPr>
        <w:t xml:space="preserve">afferente alla misura del Piano nazionale ripresa resilienza (PNRR) - M6C2 1.3.1 “Fascic</w:t>
      </w:r>
      <w:r w:rsidDel="00000000" w:rsidR="00000000" w:rsidRPr="00000000">
        <w:rPr>
          <w:rFonts w:ascii="Poppins" w:cs="Poppins" w:eastAsia="Poppins" w:hAnsi="Poppins"/>
          <w:color w:val="1f1f1f"/>
          <w:sz w:val="21"/>
          <w:szCs w:val="21"/>
          <w:highlight w:val="white"/>
          <w:rtl w:val="0"/>
        </w:rPr>
        <w:t xml:space="preserve">olo Sanitario Elettronico” missione “M6 C2 I1.3.1 Rafforzamento dell'infrastruttura tecnologica e degli strumenti per la raccolta, l’elaborazione, l’analisi dei dati e la simulazione (FSE)” - NEXTGENERATION EU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before="200" w:lineRule="auto"/>
        <w:jc w:val="both"/>
        <w:rPr>
          <w:rFonts w:ascii="Poppins" w:cs="Poppins" w:eastAsia="Poppins" w:hAnsi="Poppins"/>
          <w:b w:val="1"/>
          <w:sz w:val="20"/>
          <w:szCs w:val="20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before="200" w:lineRule="auto"/>
        <w:jc w:val="both"/>
        <w:rPr>
          <w:rFonts w:ascii="Proxima Nova" w:cs="Proxima Nova" w:eastAsia="Proxima Nova" w:hAnsi="Proxima Nova"/>
          <w:sz w:val="20"/>
          <w:szCs w:val="20"/>
        </w:rPr>
      </w:pPr>
      <w:r w:rsidDel="00000000" w:rsidR="00000000" w:rsidRPr="00000000">
        <w:rPr>
          <w:rFonts w:ascii="Poppins Light" w:cs="Poppins Light" w:eastAsia="Poppins Light" w:hAnsi="Poppins Light"/>
          <w:sz w:val="20"/>
          <w:szCs w:val="20"/>
          <w:rtl w:val="0"/>
        </w:rPr>
        <w:t xml:space="preserve">Il/La Sottoscritto/a</w:t>
      </w:r>
      <w:r w:rsidDel="00000000" w:rsidR="00000000" w:rsidRPr="00000000">
        <w:rPr>
          <w:rFonts w:ascii="Proxima Nova" w:cs="Proxima Nova" w:eastAsia="Proxima Nova" w:hAnsi="Proxima Nova"/>
          <w:sz w:val="20"/>
          <w:szCs w:val="20"/>
          <w:rtl w:val="0"/>
        </w:rPr>
        <w:t xml:space="preserve"> ___________________________________________________________________</w:t>
      </w:r>
    </w:p>
    <w:p w:rsidR="00000000" w:rsidDel="00000000" w:rsidP="00000000" w:rsidRDefault="00000000" w:rsidRPr="00000000" w14:paraId="00000006">
      <w:pPr>
        <w:spacing w:before="200" w:lineRule="auto"/>
        <w:jc w:val="both"/>
        <w:rPr>
          <w:rFonts w:ascii="Proxima Nova" w:cs="Proxima Nova" w:eastAsia="Proxima Nova" w:hAnsi="Proxima Nova"/>
          <w:sz w:val="20"/>
          <w:szCs w:val="20"/>
        </w:rPr>
      </w:pPr>
      <w:r w:rsidDel="00000000" w:rsidR="00000000" w:rsidRPr="00000000">
        <w:rPr>
          <w:rFonts w:ascii="Poppins Light" w:cs="Poppins Light" w:eastAsia="Poppins Light" w:hAnsi="Poppins Light"/>
          <w:sz w:val="20"/>
          <w:szCs w:val="20"/>
          <w:rtl w:val="0"/>
        </w:rPr>
        <w:t xml:space="preserve">nato/a a </w:t>
      </w:r>
      <w:r w:rsidDel="00000000" w:rsidR="00000000" w:rsidRPr="00000000">
        <w:rPr>
          <w:rFonts w:ascii="Proxima Nova" w:cs="Proxima Nova" w:eastAsia="Proxima Nova" w:hAnsi="Proxima Nova"/>
          <w:sz w:val="20"/>
          <w:szCs w:val="20"/>
          <w:rtl w:val="0"/>
        </w:rPr>
        <w:t xml:space="preserve">_____________________________________</w:t>
      </w:r>
      <w:r w:rsidDel="00000000" w:rsidR="00000000" w:rsidRPr="00000000">
        <w:rPr>
          <w:rFonts w:ascii="Poppins Light" w:cs="Poppins Light" w:eastAsia="Poppins Light" w:hAnsi="Poppins Light"/>
          <w:sz w:val="20"/>
          <w:szCs w:val="20"/>
          <w:rtl w:val="0"/>
        </w:rPr>
        <w:t xml:space="preserve"> (Prov. </w:t>
      </w:r>
      <w:r w:rsidDel="00000000" w:rsidR="00000000" w:rsidRPr="00000000">
        <w:rPr>
          <w:rFonts w:ascii="Proxima Nova" w:cs="Proxima Nova" w:eastAsia="Proxima Nova" w:hAnsi="Proxima Nova"/>
          <w:sz w:val="20"/>
          <w:szCs w:val="20"/>
          <w:rtl w:val="0"/>
        </w:rPr>
        <w:t xml:space="preserve">____</w:t>
      </w:r>
      <w:r w:rsidDel="00000000" w:rsidR="00000000" w:rsidRPr="00000000">
        <w:rPr>
          <w:rFonts w:ascii="Poppins Light" w:cs="Poppins Light" w:eastAsia="Poppins Light" w:hAnsi="Poppins Light"/>
          <w:sz w:val="20"/>
          <w:szCs w:val="20"/>
          <w:rtl w:val="0"/>
        </w:rPr>
        <w:t xml:space="preserve">) il </w:t>
      </w:r>
      <w:r w:rsidDel="00000000" w:rsidR="00000000" w:rsidRPr="00000000">
        <w:rPr>
          <w:rFonts w:ascii="Proxima Nova" w:cs="Proxima Nova" w:eastAsia="Proxima Nova" w:hAnsi="Proxima Nova"/>
          <w:sz w:val="20"/>
          <w:szCs w:val="20"/>
          <w:rtl w:val="0"/>
        </w:rPr>
        <w:t xml:space="preserve">_____/_____/_________</w:t>
      </w:r>
    </w:p>
    <w:p w:rsidR="00000000" w:rsidDel="00000000" w:rsidP="00000000" w:rsidRDefault="00000000" w:rsidRPr="00000000" w14:paraId="00000007">
      <w:pPr>
        <w:spacing w:before="200" w:lineRule="auto"/>
        <w:jc w:val="both"/>
        <w:rPr>
          <w:rFonts w:ascii="Poppins Light" w:cs="Poppins Light" w:eastAsia="Poppins Light" w:hAnsi="Poppins Light"/>
          <w:sz w:val="20"/>
          <w:szCs w:val="20"/>
        </w:rPr>
      </w:pPr>
      <w:r w:rsidDel="00000000" w:rsidR="00000000" w:rsidRPr="00000000">
        <w:rPr>
          <w:rFonts w:ascii="Poppins Light" w:cs="Poppins Light" w:eastAsia="Poppins Light" w:hAnsi="Poppins Light"/>
          <w:sz w:val="20"/>
          <w:szCs w:val="20"/>
          <w:rtl w:val="0"/>
        </w:rPr>
        <w:t xml:space="preserve">residente a </w:t>
      </w:r>
      <w:r w:rsidDel="00000000" w:rsidR="00000000" w:rsidRPr="00000000">
        <w:rPr>
          <w:rFonts w:ascii="Proxima Nova" w:cs="Proxima Nova" w:eastAsia="Proxima Nova" w:hAnsi="Proxima Nova"/>
          <w:sz w:val="20"/>
          <w:szCs w:val="20"/>
          <w:rtl w:val="0"/>
        </w:rPr>
        <w:t xml:space="preserve">___________________________________ </w:t>
      </w:r>
      <w:r w:rsidDel="00000000" w:rsidR="00000000" w:rsidRPr="00000000">
        <w:rPr>
          <w:rFonts w:ascii="Poppins Light" w:cs="Poppins Light" w:eastAsia="Poppins Light" w:hAnsi="Poppins Light"/>
          <w:sz w:val="20"/>
          <w:szCs w:val="20"/>
          <w:rtl w:val="0"/>
        </w:rPr>
        <w:t xml:space="preserve">(Prov. </w:t>
      </w:r>
      <w:r w:rsidDel="00000000" w:rsidR="00000000" w:rsidRPr="00000000">
        <w:rPr>
          <w:rFonts w:ascii="Proxima Nova" w:cs="Proxima Nova" w:eastAsia="Proxima Nova" w:hAnsi="Proxima Nova"/>
          <w:sz w:val="20"/>
          <w:szCs w:val="20"/>
          <w:rtl w:val="0"/>
        </w:rPr>
        <w:t xml:space="preserve">____</w:t>
      </w:r>
      <w:r w:rsidDel="00000000" w:rsidR="00000000" w:rsidRPr="00000000">
        <w:rPr>
          <w:rFonts w:ascii="Poppins Light" w:cs="Poppins Light" w:eastAsia="Poppins Light" w:hAnsi="Poppins Light"/>
          <w:sz w:val="20"/>
          <w:szCs w:val="20"/>
          <w:rtl w:val="0"/>
        </w:rPr>
        <w:t xml:space="preserve">) </w:t>
      </w:r>
    </w:p>
    <w:p w:rsidR="00000000" w:rsidDel="00000000" w:rsidP="00000000" w:rsidRDefault="00000000" w:rsidRPr="00000000" w14:paraId="00000008">
      <w:pPr>
        <w:spacing w:before="200" w:lineRule="auto"/>
        <w:jc w:val="both"/>
        <w:rPr>
          <w:rFonts w:ascii="Poppins Light" w:cs="Poppins Light" w:eastAsia="Poppins Light" w:hAnsi="Poppins Light"/>
          <w:sz w:val="24"/>
          <w:szCs w:val="24"/>
        </w:rPr>
      </w:pPr>
      <w:r w:rsidDel="00000000" w:rsidR="00000000" w:rsidRPr="00000000">
        <w:rPr>
          <w:rFonts w:ascii="Poppins Light" w:cs="Poppins Light" w:eastAsia="Poppins Light" w:hAnsi="Poppins Light"/>
          <w:sz w:val="20"/>
          <w:szCs w:val="20"/>
          <w:rtl w:val="0"/>
        </w:rPr>
        <w:t xml:space="preserve">C.F. </w:t>
      </w:r>
      <w:r w:rsidDel="00000000" w:rsidR="00000000" w:rsidRPr="00000000">
        <w:rPr>
          <w:rFonts w:ascii="Proxima Nova" w:cs="Proxima Nova" w:eastAsia="Proxima Nova" w:hAnsi="Proxima Nova"/>
          <w:sz w:val="20"/>
          <w:szCs w:val="20"/>
          <w:rtl w:val="0"/>
        </w:rPr>
        <w:t xml:space="preserve">________________________________</w:t>
      </w:r>
      <w:r w:rsidDel="00000000" w:rsidR="00000000" w:rsidRPr="00000000">
        <w:rPr>
          <w:rFonts w:ascii="Poppins Light" w:cs="Poppins Light" w:eastAsia="Poppins Light" w:hAnsi="Poppins Light"/>
          <w:sz w:val="20"/>
          <w:szCs w:val="20"/>
          <w:rtl w:val="0"/>
        </w:rPr>
        <w:t xml:space="preserve">,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before="200" w:lineRule="auto"/>
        <w:jc w:val="both"/>
        <w:rPr>
          <w:rFonts w:ascii="Poppins Light" w:cs="Poppins Light" w:eastAsia="Poppins Light" w:hAnsi="Poppins Light"/>
          <w:sz w:val="20"/>
          <w:szCs w:val="20"/>
        </w:rPr>
      </w:pPr>
      <w:r w:rsidDel="00000000" w:rsidR="00000000" w:rsidRPr="00000000">
        <w:rPr>
          <w:rFonts w:ascii="Poppins Light" w:cs="Poppins Light" w:eastAsia="Poppins Light" w:hAnsi="Poppins Light"/>
          <w:sz w:val="20"/>
          <w:szCs w:val="20"/>
          <w:rtl w:val="0"/>
        </w:rPr>
        <w:t xml:space="preserve">in qualità di </w:t>
      </w:r>
      <w:r w:rsidDel="00000000" w:rsidR="00000000" w:rsidRPr="00000000">
        <w:rPr>
          <w:rFonts w:ascii="Proxima Nova" w:cs="Proxima Nova" w:eastAsia="Proxima Nova" w:hAnsi="Proxima Nova"/>
          <w:sz w:val="20"/>
          <w:szCs w:val="20"/>
          <w:rtl w:val="0"/>
        </w:rPr>
        <w:t xml:space="preserve">_________________________________</w:t>
      </w:r>
      <w:r w:rsidDel="00000000" w:rsidR="00000000" w:rsidRPr="00000000">
        <w:rPr>
          <w:rFonts w:ascii="Poppins Light" w:cs="Poppins Light" w:eastAsia="Poppins Light" w:hAnsi="Poppins Light"/>
          <w:sz w:val="20"/>
          <w:szCs w:val="20"/>
          <w:rtl w:val="0"/>
        </w:rPr>
        <w:t xml:space="preserve"> della Società </w:t>
      </w:r>
      <w:r w:rsidDel="00000000" w:rsidR="00000000" w:rsidRPr="00000000">
        <w:rPr>
          <w:rFonts w:ascii="Proxima Nova" w:cs="Proxima Nova" w:eastAsia="Proxima Nova" w:hAnsi="Proxima Nova"/>
          <w:sz w:val="20"/>
          <w:szCs w:val="20"/>
          <w:rtl w:val="0"/>
        </w:rPr>
        <w:t xml:space="preserve">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before="200" w:lineRule="auto"/>
        <w:jc w:val="both"/>
        <w:rPr>
          <w:rFonts w:ascii="Poppins Light" w:cs="Poppins Light" w:eastAsia="Poppins Light" w:hAnsi="Poppins Light"/>
          <w:sz w:val="20"/>
          <w:szCs w:val="20"/>
        </w:rPr>
      </w:pPr>
      <w:r w:rsidDel="00000000" w:rsidR="00000000" w:rsidRPr="00000000">
        <w:rPr>
          <w:rFonts w:ascii="Poppins Light" w:cs="Poppins Light" w:eastAsia="Poppins Light" w:hAnsi="Poppins Light"/>
          <w:sz w:val="20"/>
          <w:szCs w:val="20"/>
          <w:rtl w:val="0"/>
        </w:rPr>
        <w:t xml:space="preserve">con sede in </w:t>
      </w:r>
      <w:r w:rsidDel="00000000" w:rsidR="00000000" w:rsidRPr="00000000">
        <w:rPr>
          <w:rFonts w:ascii="Proxima Nova" w:cs="Proxima Nova" w:eastAsia="Proxima Nova" w:hAnsi="Proxima Nova"/>
          <w:sz w:val="20"/>
          <w:szCs w:val="20"/>
          <w:rtl w:val="0"/>
        </w:rPr>
        <w:t xml:space="preserve">_________________________________ </w:t>
      </w:r>
      <w:r w:rsidDel="00000000" w:rsidR="00000000" w:rsidRPr="00000000">
        <w:rPr>
          <w:rFonts w:ascii="Poppins Light" w:cs="Poppins Light" w:eastAsia="Poppins Light" w:hAnsi="Poppins Light"/>
          <w:sz w:val="20"/>
          <w:szCs w:val="20"/>
          <w:rtl w:val="0"/>
        </w:rPr>
        <w:t xml:space="preserve">(Prov. </w:t>
      </w:r>
      <w:r w:rsidDel="00000000" w:rsidR="00000000" w:rsidRPr="00000000">
        <w:rPr>
          <w:rFonts w:ascii="Proxima Nova" w:cs="Proxima Nova" w:eastAsia="Proxima Nova" w:hAnsi="Proxima Nova"/>
          <w:sz w:val="20"/>
          <w:szCs w:val="20"/>
          <w:rtl w:val="0"/>
        </w:rPr>
        <w:t xml:space="preserve">____</w:t>
      </w:r>
      <w:r w:rsidDel="00000000" w:rsidR="00000000" w:rsidRPr="00000000">
        <w:rPr>
          <w:rFonts w:ascii="Poppins Light" w:cs="Poppins Light" w:eastAsia="Poppins Light" w:hAnsi="Poppins Light"/>
          <w:sz w:val="20"/>
          <w:szCs w:val="20"/>
          <w:rtl w:val="0"/>
        </w:rPr>
        <w:t xml:space="preserve">)</w:t>
      </w:r>
    </w:p>
    <w:p w:rsidR="00000000" w:rsidDel="00000000" w:rsidP="00000000" w:rsidRDefault="00000000" w:rsidRPr="00000000" w14:paraId="0000000B">
      <w:pPr>
        <w:spacing w:before="200" w:lineRule="auto"/>
        <w:jc w:val="both"/>
        <w:rPr>
          <w:rFonts w:ascii="Poppins Light" w:cs="Poppins Light" w:eastAsia="Poppins Light" w:hAnsi="Poppins Light"/>
          <w:sz w:val="20"/>
          <w:szCs w:val="20"/>
        </w:rPr>
      </w:pPr>
      <w:r w:rsidDel="00000000" w:rsidR="00000000" w:rsidRPr="00000000">
        <w:rPr>
          <w:rFonts w:ascii="Poppins Light" w:cs="Poppins Light" w:eastAsia="Poppins Light" w:hAnsi="Poppins Light"/>
          <w:sz w:val="20"/>
          <w:szCs w:val="20"/>
          <w:rtl w:val="0"/>
        </w:rPr>
        <w:t xml:space="preserve">C.F./P.IVA </w:t>
      </w:r>
      <w:r w:rsidDel="00000000" w:rsidR="00000000" w:rsidRPr="00000000">
        <w:rPr>
          <w:rFonts w:ascii="Proxima Nova" w:cs="Proxima Nova" w:eastAsia="Proxima Nova" w:hAnsi="Proxima Nova"/>
          <w:sz w:val="20"/>
          <w:szCs w:val="20"/>
          <w:rtl w:val="0"/>
        </w:rPr>
        <w:t xml:space="preserve">___________________________</w:t>
      </w:r>
      <w:r w:rsidDel="00000000" w:rsidR="00000000" w:rsidRPr="00000000">
        <w:rPr>
          <w:rFonts w:ascii="Poppins Light" w:cs="Poppins Light" w:eastAsia="Poppins Light" w:hAnsi="Poppins Light"/>
          <w:sz w:val="20"/>
          <w:szCs w:val="20"/>
          <w:rtl w:val="0"/>
        </w:rPr>
        <w:t xml:space="preserve">, Indirizzo</w:t>
      </w:r>
      <w:r w:rsidDel="00000000" w:rsidR="00000000" w:rsidRPr="00000000">
        <w:rPr>
          <w:rFonts w:ascii="Proxima Nova" w:cs="Proxima Nova" w:eastAsia="Proxima Nova" w:hAnsi="Proxima Nova"/>
          <w:sz w:val="20"/>
          <w:szCs w:val="20"/>
          <w:rtl w:val="0"/>
        </w:rPr>
        <w:t xml:space="preserve"> 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before="200" w:lineRule="auto"/>
        <w:jc w:val="both"/>
        <w:rPr>
          <w:rFonts w:ascii="Proxima Nova" w:cs="Proxima Nova" w:eastAsia="Proxima Nova" w:hAnsi="Proxima Nova"/>
          <w:sz w:val="20"/>
          <w:szCs w:val="20"/>
        </w:rPr>
      </w:pPr>
      <w:r w:rsidDel="00000000" w:rsidR="00000000" w:rsidRPr="00000000">
        <w:rPr>
          <w:rFonts w:ascii="Proxima Nova" w:cs="Proxima Nova" w:eastAsia="Proxima Nova" w:hAnsi="Proxima Nova"/>
          <w:sz w:val="20"/>
          <w:szCs w:val="20"/>
          <w:rtl w:val="0"/>
        </w:rPr>
        <w:t xml:space="preserve">PEC (Posta Elettronica Certificata): </w:t>
      </w:r>
      <w:r w:rsidDel="00000000" w:rsidR="00000000" w:rsidRPr="00000000">
        <w:rPr>
          <w:rFonts w:ascii="Proxima Nova" w:cs="Proxima Nova" w:eastAsia="Proxima Nova" w:hAnsi="Proxima Nova"/>
          <w:sz w:val="20"/>
          <w:szCs w:val="20"/>
          <w:rtl w:val="0"/>
        </w:rPr>
        <w:t xml:space="preserve">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40" w:lineRule="auto"/>
        <w:jc w:val="both"/>
        <w:rPr>
          <w:rFonts w:ascii="Poppins" w:cs="Poppins" w:eastAsia="Poppins" w:hAnsi="Poppins"/>
          <w:sz w:val="20"/>
          <w:szCs w:val="20"/>
        </w:rPr>
      </w:pP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br w:type="textWrapping"/>
        <w:t xml:space="preserve">consapevole della responsabilità penale in cui incorre chi sottoscrive dichiarazioni mendaci e delle relative sanzioni penali di cui all’art. 76 del D.P.R. 445/2000, nonché delle conseguenze amministrative di decadenza dai benefici eventualmente conseguiti al provvedimento emanato, ai sensi del D.P.R. 28/12/2000 n.445 </w:t>
      </w:r>
    </w:p>
    <w:p w:rsidR="00000000" w:rsidDel="00000000" w:rsidP="00000000" w:rsidRDefault="00000000" w:rsidRPr="00000000" w14:paraId="0000000E">
      <w:pPr>
        <w:spacing w:line="240" w:lineRule="auto"/>
        <w:jc w:val="center"/>
        <w:rPr>
          <w:rFonts w:ascii="Poppins" w:cs="Poppins" w:eastAsia="Poppins" w:hAnsi="Poppins"/>
          <w:b w:val="1"/>
          <w:sz w:val="20"/>
          <w:szCs w:val="20"/>
        </w:rPr>
      </w:pPr>
      <w:r w:rsidDel="00000000" w:rsidR="00000000" w:rsidRPr="00000000">
        <w:rPr>
          <w:rFonts w:ascii="Poppins" w:cs="Poppins" w:eastAsia="Poppins" w:hAnsi="Poppins"/>
          <w:b w:val="1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0F">
      <w:pPr>
        <w:spacing w:line="240" w:lineRule="auto"/>
        <w:jc w:val="center"/>
        <w:rPr>
          <w:rFonts w:ascii="Poppins" w:cs="Poppins" w:eastAsia="Poppins" w:hAnsi="Poppins"/>
          <w:b w:val="1"/>
          <w:sz w:val="20"/>
          <w:szCs w:val="20"/>
        </w:rPr>
      </w:pPr>
      <w:r w:rsidDel="00000000" w:rsidR="00000000" w:rsidRPr="00000000">
        <w:rPr>
          <w:rFonts w:ascii="Poppins" w:cs="Poppins" w:eastAsia="Poppins" w:hAnsi="Poppins"/>
          <w:b w:val="1"/>
          <w:sz w:val="20"/>
          <w:szCs w:val="20"/>
          <w:rtl w:val="0"/>
        </w:rPr>
        <w:t xml:space="preserve">DICHIARA</w:t>
      </w:r>
    </w:p>
    <w:p w:rsidR="00000000" w:rsidDel="00000000" w:rsidP="00000000" w:rsidRDefault="00000000" w:rsidRPr="00000000" w14:paraId="00000010">
      <w:pPr>
        <w:spacing w:line="240" w:lineRule="auto"/>
        <w:rPr>
          <w:rFonts w:ascii="Poppins" w:cs="Poppins" w:eastAsia="Poppins" w:hAnsi="Poppin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line="240" w:lineRule="auto"/>
        <w:ind w:left="425.19685039370086" w:hanging="360"/>
        <w:jc w:val="both"/>
        <w:rPr>
          <w:rFonts w:ascii="Poppins" w:cs="Poppins" w:eastAsia="Poppins" w:hAnsi="Poppins"/>
          <w:sz w:val="20"/>
          <w:szCs w:val="20"/>
        </w:rPr>
      </w:pP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di essere interessato a partecipare alla successiva procedura negoziata ex art. 50 comma 1 lett e) del Dlgs 36/2023 "Codice appalti”, per l’affidamento di un Accordo Quadro ad oggetto </w:t>
      </w: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 l’affidamento di servizi di progettazione, manutenzione, sviluppo e rework del sistema Virtual Desk HD e altre implementazioni per FSE 2.0</w:t>
      </w: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 - RDOSA_ </w:t>
      </w: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2025-005</w:t>
      </w: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;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line="240" w:lineRule="auto"/>
        <w:ind w:left="425.19685039370086" w:hanging="360"/>
        <w:jc w:val="both"/>
        <w:rPr>
          <w:rFonts w:ascii="Poppins" w:cs="Poppins" w:eastAsia="Poppins" w:hAnsi="Poppins"/>
          <w:sz w:val="20"/>
          <w:szCs w:val="20"/>
        </w:rPr>
      </w:pP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di essere in possesso di tutti i requisiti di carattere generale e speciale indicati nell’ Avviso di Manifestazione di Interesse </w:t>
      </w: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AVVSA_ 2025-005</w:t>
      </w: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;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ind w:left="425.19685039370086" w:hanging="360"/>
        <w:jc w:val="both"/>
        <w:rPr>
          <w:rFonts w:ascii="Poppins" w:cs="Poppins" w:eastAsia="Poppins" w:hAnsi="Poppins"/>
          <w:sz w:val="20"/>
          <w:szCs w:val="20"/>
        </w:rPr>
      </w:pP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di essere iscritto al mercato elettronico di Intercent-ER alla categoria merceologica CPV 72232000-0;</w:t>
      </w:r>
    </w:p>
    <w:p w:rsidR="00000000" w:rsidDel="00000000" w:rsidP="00000000" w:rsidRDefault="00000000" w:rsidRPr="00000000" w14:paraId="00000014">
      <w:pPr>
        <w:widowControl w:val="0"/>
        <w:numPr>
          <w:ilvl w:val="0"/>
          <w:numId w:val="1"/>
        </w:numPr>
        <w:ind w:left="425.19685039370086" w:hanging="360"/>
        <w:jc w:val="both"/>
        <w:rPr>
          <w:rFonts w:ascii="Poppins" w:cs="Poppins" w:eastAsia="Poppins" w:hAnsi="Poppins"/>
          <w:sz w:val="20"/>
          <w:szCs w:val="20"/>
        </w:rPr>
      </w:pP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di essere a conoscenza che la presente dichiarazione non costituisce prova del possesso dei requisiti richiesti per l’affidamento </w:t>
      </w: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del servizio</w:t>
      </w: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 che invece dovrà essere dichiarato dall’interessato ed accertato dalla Stazione Appaltante nei modi stabiliti dalla legge in occasione della procedura negoziata di affidamento. 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spacing w:line="240" w:lineRule="auto"/>
        <w:ind w:left="425.19685039370086" w:hanging="360"/>
        <w:jc w:val="both"/>
        <w:rPr>
          <w:rFonts w:ascii="Poppins" w:cs="Poppins" w:eastAsia="Poppins" w:hAnsi="Poppins"/>
          <w:sz w:val="20"/>
          <w:szCs w:val="20"/>
        </w:rPr>
      </w:pP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di essere a conoscenza che l’avviso, non costituisce avvio di una procedura di gara pubblica né proposta contrattuale e che la manifestazione di interesse ha l’unico scopo di comunicare a Lepida la disponibilità ad essere invitati a successiva procedura negoziata 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pacing w:line="240" w:lineRule="auto"/>
        <w:ind w:left="425.19685039370086" w:hanging="360"/>
        <w:jc w:val="both"/>
        <w:rPr>
          <w:rFonts w:ascii="Poppins" w:cs="Poppins" w:eastAsia="Poppins" w:hAnsi="Poppins"/>
          <w:sz w:val="20"/>
          <w:szCs w:val="20"/>
        </w:rPr>
      </w:pP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di essere a conoscenza che LepidaScpA si riserva di interrompere, modificare o annullare,  in qualsiasi momento, per ragioni di sua esclusiva competenza, il procedimento avviato, senza che i soggetti richiedenti possano vantare alcuna pretesa.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pacing w:line="240" w:lineRule="auto"/>
        <w:ind w:left="425.19685039370086" w:hanging="360"/>
        <w:jc w:val="both"/>
        <w:rPr>
          <w:rFonts w:ascii="Poppins" w:cs="Poppins" w:eastAsia="Poppins" w:hAnsi="Poppins"/>
          <w:sz w:val="20"/>
          <w:szCs w:val="20"/>
        </w:rPr>
      </w:pP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di aver preso visione di quanto previsto nelle “Condizioni generali di contratto di LepidaScpA” pubblicate sul sito internet di LepidaScpA all’indirizzo </w:t>
      </w:r>
      <w:hyperlink r:id="rId6">
        <w:r w:rsidDel="00000000" w:rsidR="00000000" w:rsidRPr="00000000">
          <w:rPr>
            <w:rFonts w:ascii="Poppins" w:cs="Poppins" w:eastAsia="Poppins" w:hAnsi="Poppins"/>
            <w:color w:val="1155cc"/>
            <w:sz w:val="20"/>
            <w:szCs w:val="20"/>
            <w:u w:val="single"/>
            <w:rtl w:val="0"/>
          </w:rPr>
          <w:t xml:space="preserve">https://www.lepida.net/bandi-gara-contratti</w:t>
        </w:r>
      </w:hyperlink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. </w:t>
      </w:r>
    </w:p>
    <w:p w:rsidR="00000000" w:rsidDel="00000000" w:rsidP="00000000" w:rsidRDefault="00000000" w:rsidRPr="00000000" w14:paraId="00000018">
      <w:pPr>
        <w:spacing w:line="240" w:lineRule="auto"/>
        <w:ind w:left="720" w:firstLine="0"/>
        <w:jc w:val="both"/>
        <w:rPr>
          <w:rFonts w:ascii="Poppins" w:cs="Poppins" w:eastAsia="Poppins" w:hAnsi="Poppi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40" w:lineRule="auto"/>
        <w:jc w:val="both"/>
        <w:rPr>
          <w:rFonts w:ascii="Poppins" w:cs="Poppins" w:eastAsia="Poppins" w:hAnsi="Poppi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ind w:left="6377.952755905511" w:firstLine="0"/>
        <w:jc w:val="both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ind w:left="6377.952755905511" w:firstLine="0"/>
        <w:jc w:val="both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ind w:left="6377.952755905511" w:firstLine="0"/>
        <w:jc w:val="both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   Firma</w:t>
      </w:r>
    </w:p>
    <w:p w:rsidR="00000000" w:rsidDel="00000000" w:rsidP="00000000" w:rsidRDefault="00000000" w:rsidRPr="00000000" w14:paraId="0000001D">
      <w:pPr>
        <w:widowControl w:val="0"/>
        <w:ind w:left="6377.952755905511" w:firstLine="0"/>
        <w:jc w:val="both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0"/>
        <w:ind w:left="4320" w:firstLine="0"/>
        <w:jc w:val="center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____________________________________</w:t>
      </w:r>
    </w:p>
    <w:p w:rsidR="00000000" w:rsidDel="00000000" w:rsidP="00000000" w:rsidRDefault="00000000" w:rsidRPr="00000000" w14:paraId="0000001F">
      <w:pPr>
        <w:widowControl w:val="0"/>
        <w:ind w:left="4320" w:firstLine="0"/>
        <w:jc w:val="center"/>
        <w:rPr>
          <w:rFonts w:ascii="Poppins" w:cs="Poppins" w:eastAsia="Poppins" w:hAnsi="Poppins"/>
          <w:i w:val="1"/>
          <w:sz w:val="20"/>
          <w:szCs w:val="20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 </w:t>
      </w:r>
      <w:r w:rsidDel="00000000" w:rsidR="00000000" w:rsidRPr="00000000">
        <w:rPr>
          <w:rFonts w:ascii="Poppins" w:cs="Poppins" w:eastAsia="Poppins" w:hAnsi="Poppins"/>
          <w:i w:val="1"/>
          <w:sz w:val="20"/>
          <w:szCs w:val="20"/>
          <w:rtl w:val="0"/>
        </w:rPr>
        <w:t xml:space="preserve">(firma in formato digitale)</w:t>
      </w:r>
    </w:p>
    <w:p w:rsidR="00000000" w:rsidDel="00000000" w:rsidP="00000000" w:rsidRDefault="00000000" w:rsidRPr="00000000" w14:paraId="00000020">
      <w:pPr>
        <w:widowControl w:val="0"/>
        <w:ind w:left="4320" w:firstLine="0"/>
        <w:jc w:val="center"/>
        <w:rPr>
          <w:rFonts w:ascii="Poppins" w:cs="Poppins" w:eastAsia="Poppins" w:hAnsi="Poppins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ind w:left="4320" w:firstLine="0"/>
        <w:jc w:val="center"/>
        <w:rPr>
          <w:rFonts w:ascii="Poppins" w:cs="Poppins" w:eastAsia="Poppins" w:hAnsi="Poppins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both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both"/>
        <w:rPr>
          <w:rFonts w:ascii="Poppins Light" w:cs="Poppins Light" w:eastAsia="Poppins Light" w:hAnsi="Poppins Light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both"/>
        <w:rPr>
          <w:rFonts w:ascii="Poppins Light" w:cs="Poppins Light" w:eastAsia="Poppins Light" w:hAnsi="Poppins Light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both"/>
        <w:rPr>
          <w:rFonts w:ascii="Poppins Light" w:cs="Poppins Light" w:eastAsia="Poppins Light" w:hAnsi="Poppins Light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870.8661417322835" w:top="1440.0000000000002" w:left="1020.472440944882" w:right="1020.47244094488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Proxima Nov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oppi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Poppins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it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www.lepida.net/bandi-gara-contratti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PoppinsLight-italic.ttf"/><Relationship Id="rId10" Type="http://schemas.openxmlformats.org/officeDocument/2006/relationships/font" Target="fonts/Poppins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PoppinsLight-boldItalic.ttf"/><Relationship Id="rId1" Type="http://schemas.openxmlformats.org/officeDocument/2006/relationships/font" Target="fonts/ProximaNova-regular.ttf"/><Relationship Id="rId2" Type="http://schemas.openxmlformats.org/officeDocument/2006/relationships/font" Target="fonts/ProximaNova-bold.ttf"/><Relationship Id="rId3" Type="http://schemas.openxmlformats.org/officeDocument/2006/relationships/font" Target="fonts/ProximaNova-italic.ttf"/><Relationship Id="rId4" Type="http://schemas.openxmlformats.org/officeDocument/2006/relationships/font" Target="fonts/ProximaNova-boldItalic.ttf"/><Relationship Id="rId9" Type="http://schemas.openxmlformats.org/officeDocument/2006/relationships/font" Target="fonts/Poppins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Poppins-regular.ttf"/><Relationship Id="rId6" Type="http://schemas.openxmlformats.org/officeDocument/2006/relationships/font" Target="fonts/Poppins-bold.ttf"/><Relationship Id="rId7" Type="http://schemas.openxmlformats.org/officeDocument/2006/relationships/font" Target="fonts/Poppins-italic.ttf"/><Relationship Id="rId8" Type="http://schemas.openxmlformats.org/officeDocument/2006/relationships/font" Target="fonts/Poppi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